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718" w:rsidRDefault="00FE1E7D">
      <w:pPr>
        <w:pStyle w:val="Standard"/>
        <w:jc w:val="center"/>
      </w:pPr>
      <w:r>
        <w:rPr>
          <w:b/>
        </w:rPr>
        <w:t>Karta przedmiotu</w:t>
      </w:r>
    </w:p>
    <w:p w:rsidR="00DC0718" w:rsidRDefault="00FE1E7D">
      <w:pPr>
        <w:pStyle w:val="Standard"/>
        <w:jc w:val="center"/>
      </w:pPr>
      <w:r>
        <w:rPr>
          <w:b/>
        </w:rPr>
        <w:t>Cz. 1</w:t>
      </w:r>
    </w:p>
    <w:tbl>
      <w:tblPr>
        <w:tblW w:w="96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1248"/>
        <w:gridCol w:w="2580"/>
        <w:gridCol w:w="1916"/>
        <w:gridCol w:w="1005"/>
      </w:tblGrid>
      <w:tr w:rsidR="00DC0718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Informacje ogólne o przedmiocie</w:t>
            </w:r>
          </w:p>
        </w:tc>
      </w:tr>
      <w:tr w:rsidR="00DC0718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lang w:eastAsia="pl-PL"/>
              </w:rPr>
              <w:t>Położnictwo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II stopień / profil </w:t>
            </w:r>
            <w:proofErr w:type="spellStart"/>
            <w:r>
              <w:t>ogólnoakademicki</w:t>
            </w:r>
            <w:proofErr w:type="spellEnd"/>
          </w:p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  <w:r>
              <w:rPr>
                <w:lang w:eastAsia="pl-PL"/>
              </w:rPr>
              <w:t>stacjonarne</w:t>
            </w:r>
          </w:p>
        </w:tc>
      </w:tr>
      <w:tr w:rsidR="00DC0718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4. Rok:</w:t>
            </w:r>
            <w:r>
              <w:t xml:space="preserve"> I / cykl 2022-</w:t>
            </w:r>
            <w:r>
              <w:rPr>
                <w:color w:val="000000"/>
              </w:rPr>
              <w:t>2024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I, II</w:t>
            </w:r>
          </w:p>
        </w:tc>
      </w:tr>
      <w:tr w:rsidR="00DC0718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rFonts w:cs="Calibri"/>
                <w:lang w:eastAsia="pl-PL"/>
              </w:rPr>
              <w:t>Prawo w praktyce położniczej</w:t>
            </w:r>
          </w:p>
        </w:tc>
      </w:tr>
      <w:tr w:rsidR="00DC0718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lang w:eastAsia="pl-PL"/>
              </w:rPr>
              <w:t>Obowiązkowy</w:t>
            </w:r>
          </w:p>
        </w:tc>
      </w:tr>
      <w:tr w:rsidR="00DC0718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  <w:p w:rsidR="00DC0718" w:rsidRDefault="00FE1E7D">
            <w:pPr>
              <w:pStyle w:val="Akapitzlist"/>
              <w:spacing w:after="0" w:line="240" w:lineRule="auto"/>
              <w:ind w:left="0"/>
              <w:jc w:val="both"/>
            </w:pPr>
            <w:r>
              <w:t>Dostarczenie studentowi wiedzy dotyczącej przepisów prawa medycznego ze szczególnym uwzględnieniem przepisów dotyczących wykonywania zawodu.</w:t>
            </w:r>
          </w:p>
          <w:p w:rsidR="00DC0718" w:rsidRDefault="00FE1E7D">
            <w:pPr>
              <w:pStyle w:val="Akapitzlist"/>
              <w:spacing w:after="0" w:line="240" w:lineRule="auto"/>
              <w:ind w:left="0"/>
              <w:jc w:val="both"/>
            </w:pPr>
            <w:r>
              <w:t>Wyposażenie absolwenta w wiedzę, z której korzystając potrafiłby planować i doskonalić własny rozwój zawodowy w oparciu o obowiązujące przepisy prawa.</w:t>
            </w:r>
          </w:p>
        </w:tc>
      </w:tr>
      <w:tr w:rsidR="00DC0718">
        <w:trPr>
          <w:trHeight w:val="725"/>
        </w:trPr>
        <w:tc>
          <w:tcPr>
            <w:tcW w:w="96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Standard"/>
              <w:spacing w:after="0" w:line="240" w:lineRule="auto"/>
            </w:pPr>
            <w:r>
              <w:t>Opanowanie  przez studentów wiedzy i umiejętności z zakresy  prawa pracy.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t>Poznanie  przepisów prawnych zawartych w aktach międzynarodowych, których Polska jest sygnatariuszem a odnoszących się do praw człowieka, dziecka i pacjenta.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t>Przyswojenie  przez studentów  wiedzy i umiejętności z zakresu prawa autorskiego i praw pokrewnych.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t>Przyswojenie  przez studentów wiedzy i umiejętności z zakresu prawa własności przemysłowej.</w:t>
            </w:r>
          </w:p>
          <w:p w:rsidR="00DC0718" w:rsidRDefault="00DC0718">
            <w:pPr>
              <w:pStyle w:val="Standard"/>
              <w:spacing w:after="0" w:line="240" w:lineRule="auto"/>
            </w:pPr>
          </w:p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t>w zakresie wiedzy student zna i rozumie: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rPr>
                <w:sz w:val="20"/>
                <w:szCs w:val="20"/>
              </w:rPr>
              <w:t>A.W6.-skutki prawne zdarzeń medycznych, A.W7.</w:t>
            </w:r>
            <w:r>
              <w:t xml:space="preserve"> - </w:t>
            </w:r>
            <w:r>
              <w:rPr>
                <w:sz w:val="20"/>
                <w:szCs w:val="20"/>
              </w:rPr>
              <w:t>istotę błędów medycznych w położnictwie w kontekście niepowodzenia w działaniach terapeutyczno-pielęgnacyjnych, A.W8. - systemy ubezpieczeń w zakresie odpowiedzialności cywilnej, A.W9. - uwarunkowania prawne przetwarzania danych wrażliwych w systemie informacji w ochronie zdrowia, A.W10.</w:t>
            </w:r>
            <w:r>
              <w:t xml:space="preserve"> - </w:t>
            </w:r>
            <w:r>
              <w:rPr>
                <w:sz w:val="20"/>
                <w:szCs w:val="20"/>
              </w:rPr>
              <w:t>poziomy uprawnień do realizowania świadczeń zdrowotnych przez położną w odniesieniu do poziomu kwalifikacji;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rPr>
                <w:lang w:eastAsia="pl-PL"/>
              </w:rPr>
              <w:t>w zakresie umiejętności student potrafi: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rPr>
                <w:sz w:val="20"/>
                <w:szCs w:val="20"/>
              </w:rPr>
              <w:t xml:space="preserve">A.U4. - oceniać zdarzenia w praktyce zawodowej położnej w kontekście zgodności z przepisami prawa oraz możliwości i sposobów dochodzenia roszczeń, a także wskazywać możliwości danego problemu, A.U5. - kwalifikować zdarzenia w praktyce zawodowej położnej zgodnie z przepisami prawa cywilnego, karnego i prawa pracy, A.U6. 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analizować przyczyny błędów medycznych i proponować działania naprawcze, A.U7.</w:t>
            </w:r>
            <w:r>
              <w:rPr>
                <w:b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analizować strukturę zadań zawodowych położnych w kontekście posiadanych kwalifikacji;</w:t>
            </w:r>
          </w:p>
          <w:p w:rsidR="00DC0718" w:rsidRDefault="00FE1E7D">
            <w:pPr>
              <w:pStyle w:val="Standard"/>
              <w:spacing w:after="0" w:line="240" w:lineRule="auto"/>
            </w:pPr>
            <w:r>
              <w:t xml:space="preserve">w zakresie kompetencji społecznych student jest gotów do: </w:t>
            </w:r>
            <w:r>
              <w:br/>
            </w:r>
            <w:r>
              <w:rPr>
                <w:sz w:val="20"/>
                <w:szCs w:val="20"/>
              </w:rPr>
              <w:t xml:space="preserve">Punkt 1.3. ogólnych efektów uczenia się - </w:t>
            </w:r>
            <w:r>
              <w:rPr>
                <w:sz w:val="20"/>
                <w:szCs w:val="20"/>
                <w:lang w:eastAsia="pl-PL"/>
              </w:rPr>
              <w:t xml:space="preserve">kierowania się dobrem pacjenta, poszanowania godności i autonomii osób powierzonych opiece, okazywania zrozumienia dla różnic światopoglądowych i kulturowych oraz empatii w relacji </w:t>
            </w:r>
            <w:r>
              <w:rPr>
                <w:sz w:val="20"/>
                <w:szCs w:val="20"/>
                <w:lang w:eastAsia="pl-PL"/>
              </w:rPr>
              <w:br/>
              <w:t>z pacjentem i jego rodziną.</w:t>
            </w:r>
          </w:p>
          <w:p w:rsidR="00DC0718" w:rsidRDefault="00DC0718">
            <w:pPr>
              <w:pStyle w:val="Standard"/>
              <w:spacing w:after="0" w:line="240" w:lineRule="auto"/>
            </w:pPr>
          </w:p>
        </w:tc>
      </w:tr>
      <w:tr w:rsidR="00DC0718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9. liczba godzin z przedmiotu 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ind w:left="57"/>
              <w:jc w:val="center"/>
            </w:pPr>
            <w:r>
              <w:rPr>
                <w:b/>
              </w:rPr>
              <w:t>25</w:t>
            </w:r>
          </w:p>
        </w:tc>
      </w:tr>
      <w:tr w:rsidR="00DC0718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ind w:left="57"/>
              <w:jc w:val="center"/>
            </w:pPr>
            <w:r>
              <w:rPr>
                <w:b/>
              </w:rPr>
              <w:t>2</w:t>
            </w:r>
          </w:p>
        </w:tc>
      </w:tr>
      <w:tr w:rsidR="00DC0718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11. Sposoby weryfikacji i oceny efektów uczenia się</w:t>
            </w:r>
          </w:p>
        </w:tc>
      </w:tr>
      <w:tr w:rsidR="00DC071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jc w:val="center"/>
            </w:pPr>
            <w:r>
              <w:t>Sposoby oceny*</w:t>
            </w:r>
          </w:p>
        </w:tc>
      </w:tr>
      <w:tr w:rsidR="00DC071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Akapitzlist"/>
              <w:spacing w:after="0" w:line="240" w:lineRule="auto"/>
              <w:ind w:left="0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DC0718">
            <w:pPr>
              <w:pStyle w:val="Standard"/>
              <w:spacing w:after="0" w:line="240" w:lineRule="auto"/>
              <w:jc w:val="center"/>
            </w:pPr>
          </w:p>
          <w:p w:rsidR="00DC0718" w:rsidRDefault="00FE1E7D">
            <w:pPr>
              <w:pStyle w:val="Standard"/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>*</w:t>
            </w:r>
          </w:p>
        </w:tc>
      </w:tr>
      <w:tr w:rsidR="00DC071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t>Obserwacja, omówienie realizowanego zadania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>*</w:t>
            </w:r>
          </w:p>
        </w:tc>
      </w:tr>
      <w:tr w:rsidR="00DC071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0718" w:rsidRDefault="00FE1E7D">
            <w:pPr>
              <w:pStyle w:val="Standard"/>
              <w:spacing w:after="0" w:line="240" w:lineRule="auto"/>
            </w:pPr>
            <w:r>
              <w:rPr>
                <w:b/>
              </w:rPr>
              <w:t>*</w:t>
            </w:r>
          </w:p>
        </w:tc>
      </w:tr>
    </w:tbl>
    <w:p w:rsidR="00DC0718" w:rsidRDefault="00DC0718">
      <w:pPr>
        <w:pStyle w:val="Standard"/>
      </w:pPr>
    </w:p>
    <w:p w:rsidR="00DC0718" w:rsidRDefault="00FE1E7D">
      <w:pPr>
        <w:pStyle w:val="Standard"/>
      </w:pPr>
      <w:r>
        <w:rPr>
          <w:b/>
        </w:rPr>
        <w:t>*</w:t>
      </w:r>
      <w:r>
        <w:t xml:space="preserve"> zakłada się, że ocena oznacza na poziomie: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lastRenderedPageBreak/>
        <w:t>Bardzo dobry (5,0)</w:t>
      </w:r>
      <w:r>
        <w:rPr>
          <w:rFonts w:cs="Calibri"/>
          <w:color w:val="000000"/>
        </w:rPr>
        <w:t xml:space="preserve"> - zakładane efekty uczenia się zostały osiągnięte i </w:t>
      </w:r>
      <w:proofErr w:type="spellStart"/>
      <w:r w:rsidR="002725E3">
        <w:rPr>
          <w:rFonts w:cs="Calibri"/>
          <w:color w:val="000000"/>
        </w:rPr>
        <w:t>w.</w:t>
      </w:r>
      <w:r>
        <w:rPr>
          <w:rFonts w:cs="Calibri"/>
          <w:color w:val="000000"/>
        </w:rPr>
        <w:t>znacznym</w:t>
      </w:r>
      <w:proofErr w:type="spellEnd"/>
      <w:r>
        <w:rPr>
          <w:rFonts w:cs="Calibri"/>
          <w:color w:val="000000"/>
        </w:rPr>
        <w:t xml:space="preserve"> stopniu przekraczają wymagany poziom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DC0718" w:rsidRDefault="00FE1E7D">
      <w:pPr>
        <w:pStyle w:val="Standard"/>
        <w:spacing w:after="0" w:line="260" w:lineRule="atLeast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:rsidR="00DC0718" w:rsidRDefault="00DC0718">
      <w:pPr>
        <w:pStyle w:val="Standard"/>
        <w:spacing w:after="0"/>
      </w:pPr>
    </w:p>
    <w:p w:rsidR="00DC0718" w:rsidRDefault="00DC0718">
      <w:pPr>
        <w:pStyle w:val="Standard"/>
      </w:pPr>
      <w:bookmarkStart w:id="0" w:name="_GoBack"/>
      <w:bookmarkEnd w:id="0"/>
    </w:p>
    <w:sectPr w:rsidR="00DC071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847" w:rsidRDefault="00F26847">
      <w:r>
        <w:separator/>
      </w:r>
    </w:p>
  </w:endnote>
  <w:endnote w:type="continuationSeparator" w:id="0">
    <w:p w:rsidR="00F26847" w:rsidRDefault="00F2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847" w:rsidRDefault="00F26847">
      <w:r>
        <w:rPr>
          <w:color w:val="000000"/>
        </w:rPr>
        <w:separator/>
      </w:r>
    </w:p>
  </w:footnote>
  <w:footnote w:type="continuationSeparator" w:id="0">
    <w:p w:rsidR="00F26847" w:rsidRDefault="00F26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34E39"/>
    <w:multiLevelType w:val="multilevel"/>
    <w:tmpl w:val="52448B6A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 w15:restartNumberingAfterBreak="0">
    <w:nsid w:val="653B5370"/>
    <w:multiLevelType w:val="multilevel"/>
    <w:tmpl w:val="5E7E9FD2"/>
    <w:styleLink w:val="WWNum1"/>
    <w:lvl w:ilvl="0">
      <w:start w:val="1"/>
      <w:numFmt w:val="decimal"/>
      <w:lvlText w:val="%1."/>
      <w:lvlJc w:val="left"/>
      <w:rPr>
        <w:b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0718"/>
    <w:rsid w:val="002725E3"/>
    <w:rsid w:val="004620A5"/>
    <w:rsid w:val="004C1447"/>
    <w:rsid w:val="00DC0718"/>
    <w:rsid w:val="00F26847"/>
    <w:rsid w:val="00FE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A9D9D-3DD0-4A5A-80A1-1ED4BC2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Lohit Devanagari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h2">
    <w:name w:val="h2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b/>
      <w:sz w:val="20"/>
    </w:rPr>
  </w:style>
  <w:style w:type="character" w:customStyle="1" w:styleId="ListLabel2">
    <w:name w:val="ListLabel 2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Szoszkiewicz</cp:lastModifiedBy>
  <cp:revision>3</cp:revision>
  <dcterms:created xsi:type="dcterms:W3CDTF">2021-12-03T22:50:00Z</dcterms:created>
  <dcterms:modified xsi:type="dcterms:W3CDTF">2022-04-14T07:26:00Z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